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1F" w:rsidRDefault="0074431F" w:rsidP="007443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квалификационного</w:t>
      </w:r>
      <w:r w:rsidRPr="00B7719C">
        <w:rPr>
          <w:rFonts w:ascii="Times New Roman" w:hAnsi="Times New Roman"/>
          <w:b/>
          <w:sz w:val="28"/>
          <w:szCs w:val="28"/>
        </w:rPr>
        <w:t xml:space="preserve"> экзамена ПМ</w:t>
      </w:r>
      <w:r>
        <w:rPr>
          <w:rFonts w:ascii="Times New Roman" w:hAnsi="Times New Roman"/>
          <w:b/>
          <w:sz w:val="28"/>
          <w:szCs w:val="28"/>
        </w:rPr>
        <w:t>.</w:t>
      </w:r>
      <w:r w:rsidRPr="00B7719C">
        <w:rPr>
          <w:rFonts w:ascii="Times New Roman" w:hAnsi="Times New Roman"/>
          <w:b/>
          <w:sz w:val="28"/>
          <w:szCs w:val="28"/>
        </w:rPr>
        <w:t>02</w:t>
      </w:r>
    </w:p>
    <w:p w:rsidR="0074431F" w:rsidRPr="00B7719C" w:rsidRDefault="0074431F" w:rsidP="007443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31F" w:rsidRPr="00EB4082" w:rsidRDefault="0074431F" w:rsidP="0074431F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B4082">
        <w:rPr>
          <w:rFonts w:ascii="Times New Roman" w:hAnsi="Times New Roman"/>
          <w:b/>
          <w:sz w:val="32"/>
          <w:szCs w:val="32"/>
        </w:rPr>
        <w:t xml:space="preserve">Организационное обеспечение деятельности учреждений социальной защиты населения и органов </w:t>
      </w:r>
      <w:r>
        <w:rPr>
          <w:rFonts w:ascii="Times New Roman" w:hAnsi="Times New Roman"/>
          <w:b/>
          <w:sz w:val="32"/>
          <w:szCs w:val="32"/>
        </w:rPr>
        <w:t>п</w:t>
      </w:r>
      <w:r w:rsidRPr="00EB4082">
        <w:rPr>
          <w:rFonts w:ascii="Times New Roman" w:hAnsi="Times New Roman"/>
          <w:b/>
          <w:sz w:val="32"/>
          <w:szCs w:val="32"/>
        </w:rPr>
        <w:t>енсионного фонда России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социальной защиты населения и система государственного управления в сфере социальной защиты населения.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источники, регулирующие организацию работы органов и учреждений социальной защиты населения и органов Пенсионного фонда России.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и полномочия  Министерства труда и социальной защиты РФ и  Федеральной службы по труду и занятости в сфере социальной защиты населения.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управления в сфере социальной защиты населения в субъектах РФ, их задачи и направления деятельности.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Правовой статус </w:t>
      </w:r>
      <w:r>
        <w:rPr>
          <w:rFonts w:ascii="Times New Roman" w:hAnsi="Times New Roman" w:cs="Times New Roman"/>
          <w:sz w:val="28"/>
          <w:szCs w:val="28"/>
        </w:rPr>
        <w:t>и структура органов социальной защиты населения в субъектах РФ.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приему граждан в  органах социальной защиты населения в субъектах Российской Федерации.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Административные регламенты государственной услуги по 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 предоставлению органами социальной защиты мер социальной поддержки отдельным категориям нуждающихся в них граждан </w:t>
      </w:r>
      <w:r w:rsidRPr="00E10CB9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(на примере Республики Дагестан).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оциальный контракт: понятие и  порядок заключения. Составление Программы социальной адаптации.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понятие и формы социального обслуживания. Понятие социальной услуги и виды социальных услуг.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задачи и структура стандартов социальных услуг.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социальных услуг: правовой статус. Регистр поставщиков услуг.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hl"/>
          <w:rFonts w:ascii="Times New Roman" w:hAnsi="Times New Roman"/>
          <w:color w:val="auto"/>
          <w:sz w:val="28"/>
          <w:szCs w:val="28"/>
        </w:rPr>
        <w:t>Информационная открытость поставщиков социальных услуг.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оказываемых услуг.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признания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 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sz w:val="28"/>
          <w:szCs w:val="28"/>
        </w:rPr>
        <w:t>составления индивидуальной программы предоставления социальных услуг. Договор об оказании социальных услуг.</w:t>
      </w:r>
    </w:p>
    <w:p w:rsidR="0074431F" w:rsidRDefault="0074431F" w:rsidP="0074431F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Федеральные государственные стандарты государственных услуг и государственных функций в области содействия занятости населения.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Задачи, типы и структура учреждений социальной защиты населения в субъектах РФ.</w:t>
      </w:r>
    </w:p>
    <w:p w:rsidR="0074431F" w:rsidRPr="00B877E1" w:rsidRDefault="0074431F" w:rsidP="0074431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right="708" w:firstLine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77E1">
        <w:rPr>
          <w:rFonts w:ascii="Times New Roman" w:hAnsi="Times New Roman"/>
          <w:color w:val="auto"/>
          <w:sz w:val="28"/>
          <w:szCs w:val="28"/>
        </w:rPr>
        <w:t xml:space="preserve">Организация учета граждан, </w:t>
      </w:r>
      <w:r w:rsidRPr="00B877E1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нуждающихся в социальной поддержке. </w:t>
      </w:r>
      <w:r w:rsidRPr="00B877E1">
        <w:rPr>
          <w:rFonts w:ascii="Times New Roman" w:hAnsi="Times New Roman"/>
          <w:color w:val="auto"/>
          <w:sz w:val="28"/>
          <w:szCs w:val="28"/>
        </w:rPr>
        <w:t xml:space="preserve">Единая </w:t>
      </w:r>
      <w:r w:rsidRPr="00B877E1">
        <w:rPr>
          <w:rFonts w:ascii="Times New Roman" w:hAnsi="Times New Roman"/>
          <w:sz w:val="28"/>
          <w:szCs w:val="28"/>
        </w:rPr>
        <w:t xml:space="preserve">государственная информационная система социального обслуживания (ЕГИССО). </w:t>
      </w:r>
    </w:p>
    <w:p w:rsidR="0074431F" w:rsidRPr="00B877E1" w:rsidRDefault="0074431F" w:rsidP="0074431F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right="708" w:firstLine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7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Задачи и полномочия центров занятости населения в субъектах РФ.</w:t>
      </w:r>
      <w:r w:rsidRPr="00B877E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Правовые понятия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критерии ограничения жизнедеятельности и установления инвалидности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 организации и деятельности федеральных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color w:val="auto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юро МСЭ.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направления граждан и порядок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составлению и реализации индивидуальной программы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полномочия органов опеки и попечительства.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основы работы органов опеки и попечительства. Правовые понятия в сфере опеки и попечительства. 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установления опеки и попечительства.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надзор за опекунами и попечителями.</w:t>
      </w:r>
    </w:p>
    <w:p w:rsidR="0074431F" w:rsidRDefault="0074431F" w:rsidP="0074431F">
      <w:pPr>
        <w:pStyle w:val="a3"/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РФ </w:t>
      </w:r>
      <w:r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bCs/>
          <w:sz w:val="28"/>
          <w:szCs w:val="28"/>
        </w:rPr>
        <w:t>: характеристика основных проблем, целевые показатели, структура, основные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31F" w:rsidRDefault="0074431F" w:rsidP="0074431F">
      <w:pPr>
        <w:pStyle w:val="a3"/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РФ </w:t>
      </w:r>
      <w:r>
        <w:rPr>
          <w:rFonts w:ascii="Times New Roman" w:hAnsi="Times New Roman" w:cs="Times New Roman"/>
          <w:sz w:val="28"/>
          <w:szCs w:val="28"/>
        </w:rPr>
        <w:t xml:space="preserve">«Доступная среда»: </w:t>
      </w: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проблем, целевые показатели, структура, основные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31F" w:rsidRDefault="0074431F" w:rsidP="0074431F">
      <w:pPr>
        <w:pStyle w:val="a3"/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РФ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населения»</w:t>
      </w:r>
      <w:r>
        <w:rPr>
          <w:rFonts w:ascii="Times New Roman" w:hAnsi="Times New Roman" w:cs="Times New Roman"/>
          <w:bCs/>
          <w:sz w:val="28"/>
          <w:szCs w:val="28"/>
        </w:rPr>
        <w:t>: характеристика основных проблем, целевые показатели, структура, основные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31F" w:rsidRDefault="0074431F" w:rsidP="0074431F">
      <w:pPr>
        <w:pStyle w:val="a3"/>
        <w:numPr>
          <w:ilvl w:val="0"/>
          <w:numId w:val="1"/>
        </w:numPr>
        <w:tabs>
          <w:tab w:val="left" w:pos="426"/>
        </w:tabs>
        <w:ind w:left="0" w:right="-1" w:firstLine="0"/>
        <w:jc w:val="both"/>
      </w:pPr>
      <w:r w:rsidRPr="003424AA">
        <w:rPr>
          <w:rFonts w:ascii="Times New Roman" w:hAnsi="Times New Roman" w:cs="Times New Roman"/>
          <w:bCs/>
          <w:sz w:val="28"/>
          <w:szCs w:val="28"/>
        </w:rPr>
        <w:t>Государственные программы Республики Дагестан в области социальной защиты населения.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Создание Пенсионного фонда РФ и развитие его правового статуса.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1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рассмотрения </w:t>
      </w:r>
      <w:r w:rsidRPr="00A11B05">
        <w:rPr>
          <w:rFonts w:ascii="Times New Roman" w:hAnsi="Times New Roman" w:cs="Times New Roman"/>
          <w:bCs/>
          <w:sz w:val="28"/>
          <w:szCs w:val="28"/>
        </w:rPr>
        <w:t>обращений граждан в системе Пенсионного фонда РФ.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Функции Пенсионного фонда РФ, связанные с учетом пенсионных прав и с назначением и выплатой страхового обеспечения, других социальных выплат.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Задачи, структура и полномочия центрального аппарата  Пенсионного фонда РФ  и Отделений фонда в субъектах РФ.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Структура и полномочия управлений Пенсионного фонда РФ  в городах и районах.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>Правовой статус и функции  клиентской службы Пенсионного фонда РФ.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>Виды электронных услуг и программных комплексов Пенсионного фонда РФ</w:t>
      </w:r>
      <w:r w:rsidRPr="00A11B05">
        <w:rPr>
          <w:rFonts w:ascii="Times New Roman" w:hAnsi="Times New Roman" w:cs="Times New Roman"/>
          <w:sz w:val="28"/>
          <w:szCs w:val="28"/>
        </w:rPr>
        <w:t>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Правовая о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рганизация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(регламент) 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специалиста клиентской службы </w:t>
      </w:r>
      <w:r w:rsidRPr="00A11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установлению и выплате пенсий территориальными органами </w:t>
      </w:r>
      <w:r w:rsidRPr="00A11B05">
        <w:rPr>
          <w:rFonts w:ascii="Times New Roman" w:hAnsi="Times New Roman" w:cs="Times New Roman"/>
          <w:bCs/>
          <w:sz w:val="28"/>
          <w:szCs w:val="28"/>
        </w:rPr>
        <w:t>Пенсионного фонда РФ</w:t>
      </w:r>
      <w:r w:rsidRPr="00A11B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>Организация работы специалиста Пенсионного фонда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(регламент)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 по выплате мер социальной поддержки отдельным категориям граждан.</w:t>
      </w:r>
      <w:r w:rsidRPr="00A1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Фонда социального страхования </w:t>
      </w:r>
      <w:r w:rsidRPr="00A11B05">
        <w:rPr>
          <w:rFonts w:ascii="Times New Roman" w:hAnsi="Times New Roman" w:cs="Times New Roman"/>
          <w:sz w:val="28"/>
          <w:szCs w:val="28"/>
        </w:rPr>
        <w:t>РФ и развитие его правового статуса.</w:t>
      </w:r>
    </w:p>
    <w:p w:rsid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lastRenderedPageBreak/>
        <w:t>Структура Фонда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 социального страхования </w:t>
      </w:r>
      <w:r w:rsidRPr="00A11B05">
        <w:rPr>
          <w:rFonts w:ascii="Times New Roman" w:hAnsi="Times New Roman" w:cs="Times New Roman"/>
          <w:sz w:val="28"/>
          <w:szCs w:val="28"/>
        </w:rPr>
        <w:t>РФ, его Правления, территориальных отделений и полномочия руководящих органов.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организация работы </w:t>
      </w:r>
      <w:r w:rsidRPr="00A11B05">
        <w:rPr>
          <w:rFonts w:ascii="Times New Roman" w:hAnsi="Times New Roman" w:cs="Times New Roman"/>
          <w:sz w:val="28"/>
          <w:szCs w:val="28"/>
        </w:rPr>
        <w:t>Фонда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 социального страхования </w:t>
      </w:r>
      <w:r w:rsidRPr="00A11B05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страхователей.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Правовая организации работы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(регламенты)</w:t>
      </w:r>
      <w:r w:rsidRPr="00A11B0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Фонда социального страхования РФ по оказанию государственных услуг.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>Правовые понятия системы обязательного медицинского страхования. Субъекты и участники.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Задачи и функции федерального Фонда обязательного медицинского страхования.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Задачи и полномочия территориальных фондов обязательного медицинского страхования.</w:t>
      </w:r>
    </w:p>
    <w:p w:rsid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фондов обязательного медицинского страхования  по защите прав застрахованных лиц. </w:t>
      </w:r>
      <w:r>
        <w:rPr>
          <w:rFonts w:ascii="Times New Roman" w:hAnsi="Times New Roman" w:cs="Times New Roman"/>
          <w:bCs/>
          <w:sz w:val="28"/>
          <w:szCs w:val="28"/>
        </w:rPr>
        <w:t>Рассмотрение обращений граждан.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B05">
        <w:rPr>
          <w:rFonts w:ascii="Times New Roman" w:hAnsi="Times New Roman" w:cs="Times New Roman"/>
          <w:bCs/>
          <w:sz w:val="28"/>
          <w:szCs w:val="28"/>
        </w:rPr>
        <w:t>Экспертиза медицинской 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форма защиты прав застрахованных лиц в системе</w:t>
      </w:r>
      <w:r w:rsidRPr="00364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1B05">
        <w:rPr>
          <w:rFonts w:ascii="Times New Roman" w:hAnsi="Times New Roman" w:cs="Times New Roman"/>
          <w:bCs/>
          <w:sz w:val="28"/>
          <w:szCs w:val="28"/>
        </w:rPr>
        <w:t>обязательного медицинского страхования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11B0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Понятие и  правовое значение профессиональных стандартов в сфере социальной защиты населения.</w:t>
      </w:r>
    </w:p>
    <w:p w:rsidR="0074431F" w:rsidRPr="00A11B05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B05">
        <w:rPr>
          <w:rFonts w:ascii="Times New Roman" w:hAnsi="Times New Roman" w:cs="Times New Roman"/>
          <w:sz w:val="28"/>
          <w:szCs w:val="28"/>
        </w:rPr>
        <w:t>Виды и структура профессиональных стандартов работников органов и учреждений социальной защиты.</w:t>
      </w:r>
    </w:p>
    <w:p w:rsidR="0074431F" w:rsidRPr="00D710CC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0CC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стандарты «Руководитель организации социального обслуживания» и «Руководитель учреждения </w:t>
      </w:r>
      <w:proofErr w:type="gramStart"/>
      <w:r w:rsidRPr="00D710CC">
        <w:rPr>
          <w:rFonts w:ascii="Times New Roman" w:hAnsi="Times New Roman" w:cs="Times New Roman"/>
          <w:color w:val="auto"/>
          <w:sz w:val="28"/>
          <w:szCs w:val="28"/>
        </w:rPr>
        <w:t>медико-социальной</w:t>
      </w:r>
      <w:proofErr w:type="gramEnd"/>
      <w:r w:rsidRPr="00D710CC">
        <w:rPr>
          <w:rFonts w:ascii="Times New Roman" w:hAnsi="Times New Roman" w:cs="Times New Roman"/>
          <w:color w:val="auto"/>
          <w:sz w:val="28"/>
          <w:szCs w:val="28"/>
        </w:rPr>
        <w:t xml:space="preserve"> экспертизы» (общая характеристика).</w:t>
      </w:r>
    </w:p>
    <w:p w:rsidR="0074431F" w:rsidRPr="00D710CC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0CC">
        <w:rPr>
          <w:rFonts w:ascii="Times New Roman" w:hAnsi="Times New Roman" w:cs="Times New Roman"/>
          <w:color w:val="auto"/>
          <w:sz w:val="28"/>
          <w:szCs w:val="28"/>
        </w:rPr>
        <w:t>Профессиональные стандарты специалистов в учреждениях социальной защиты населения (общая характеристика).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0CC">
        <w:rPr>
          <w:rFonts w:ascii="Times New Roman" w:hAnsi="Times New Roman" w:cs="Times New Roman"/>
          <w:color w:val="auto"/>
          <w:sz w:val="28"/>
          <w:szCs w:val="28"/>
        </w:rPr>
        <w:t>Профессиональные стандарты специалистов в территориальных подразделениях Пенсионного фонда РФ (общая характеристика).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Нормы этики и служебного поведения работников в сфере социальной защиты населения. </w:t>
      </w:r>
      <w:r w:rsidRPr="0074431F">
        <w:rPr>
          <w:rFonts w:ascii="Times New Roman" w:hAnsi="Times New Roman" w:cs="Times New Roman"/>
          <w:sz w:val="28"/>
          <w:szCs w:val="28"/>
        </w:rPr>
        <w:t>Меры социальной поддержки и стимулирования социальных работников организации социального обслуживания.</w:t>
      </w:r>
      <w:r w:rsidRPr="0074431F">
        <w:rPr>
          <w:rFonts w:ascii="Times New Roman" w:hAnsi="Times New Roman" w:cs="Times New Roman"/>
          <w:sz w:val="28"/>
          <w:szCs w:val="28"/>
        </w:rPr>
        <w:t xml:space="preserve"> </w:t>
      </w:r>
      <w:r w:rsidRPr="0074431F">
        <w:rPr>
          <w:rFonts w:ascii="Times New Roman" w:hAnsi="Times New Roman" w:cs="Times New Roman"/>
          <w:sz w:val="28"/>
          <w:szCs w:val="28"/>
        </w:rPr>
        <w:t>Понятие, признаки и функции пенсии.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Принципы пенсионного обеспечения.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Мировые модели построения пенсионных систем.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Обязательное пенсионное страхование: понятие и правовое регулирование. 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Государственное пенсионное обеспечение: понятие и правовое регулирование.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 Негосударственное пенсионное обеспечение: понятие и правовое регулирование.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Общая характеристика субъектов обязательного пенсионного страхования.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Правовой статус страховщика в системе обязательного пенсионного страхования.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Правовой статус страхователей как субъектов пенсионного страхования.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lastRenderedPageBreak/>
        <w:t>Правовой статус застрахованных лиц в системе обязательного пенсионного страхования.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Трудовой и страховой стаж: понятие и виды.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Специальный страховой стаж. Выслуга лет.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Нормативно-правовая основа пенсионного обеспечения в Российской Федерации.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Понятие, виды страховой пенсии. Получатели страховых пенсий.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Порядок установления, выплаты и доставки страховой пенсии.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Понятие, виды, пенсий по государственному пенсионному обеспечению. Получатели пенсии.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 на получение двух пенсий одновременно.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 на получение пенсии досрочно.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Условия назначения пенсии по государственному пенсионному обеспечению гражданам, пострадавшим в результате радиационных или техногенных катастроф, и членам их семей.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Условия назначения пенсии по государственному пенсионному обеспечению военнослужащим, ветеранам ВОВ, гражданам, награжденным знаком « жителю блокадного Ленинграда»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Правовые основы государственной социальной пенсии.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Правовые основы исчисления, назначения и выплаты пенсий для лиц, проходивших военную и приравненную к ней службу, и членов их семей.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Правовые основы дополнительного материального обеспечения за выдающиеся достижения и особые заслуги перед Российской Федерацией.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Негосударственная пенсия. Пенсионная схема.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Правовой статус негосударственных пенсионных фондов.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31F">
        <w:rPr>
          <w:rFonts w:ascii="Times New Roman" w:hAnsi="Times New Roman" w:cs="Times New Roman"/>
          <w:sz w:val="28"/>
          <w:szCs w:val="28"/>
        </w:rPr>
        <w:t>Условия назначения пенсии по государственному пенсионному обеспечению космонавтам и летчикам-испытателям.</w:t>
      </w:r>
    </w:p>
    <w:p w:rsidR="0074431F" w:rsidRPr="0074431F" w:rsidRDefault="0074431F" w:rsidP="0074431F">
      <w:pPr>
        <w:pStyle w:val="a3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4431F">
        <w:rPr>
          <w:rFonts w:ascii="Times New Roman" w:hAnsi="Times New Roman" w:cs="Times New Roman"/>
          <w:sz w:val="28"/>
          <w:szCs w:val="28"/>
        </w:rPr>
        <w:t>Пожизненное содержание судей.</w:t>
      </w:r>
    </w:p>
    <w:p w:rsidR="0074431F" w:rsidRPr="002D1F81" w:rsidRDefault="0074431F" w:rsidP="0074431F">
      <w:pPr>
        <w:pStyle w:val="a4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74431F" w:rsidRPr="0074431F" w:rsidRDefault="0074431F" w:rsidP="0074431F">
      <w:pPr>
        <w:pStyle w:val="a3"/>
        <w:widowControl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431F" w:rsidRPr="00856FFA" w:rsidRDefault="0074431F" w:rsidP="0074431F">
      <w:pPr>
        <w:pStyle w:val="a3"/>
        <w:widowControl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316" w:rsidRDefault="00A65316"/>
    <w:sectPr w:rsidR="00A6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8E6"/>
    <w:multiLevelType w:val="hybridMultilevel"/>
    <w:tmpl w:val="E4D2E582"/>
    <w:lvl w:ilvl="0" w:tplc="1E2AA1E8">
      <w:start w:val="1"/>
      <w:numFmt w:val="decimal"/>
      <w:lvlText w:val="%1."/>
      <w:lvlJc w:val="left"/>
      <w:pPr>
        <w:ind w:left="864" w:hanging="5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A10E3"/>
    <w:multiLevelType w:val="hybridMultilevel"/>
    <w:tmpl w:val="1C0080F4"/>
    <w:lvl w:ilvl="0" w:tplc="B086A662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693" w:hanging="360"/>
      </w:pPr>
    </w:lvl>
    <w:lvl w:ilvl="2" w:tplc="0419001B">
      <w:start w:val="1"/>
      <w:numFmt w:val="lowerRoman"/>
      <w:lvlText w:val="%3."/>
      <w:lvlJc w:val="right"/>
      <w:pPr>
        <w:ind w:left="6413" w:hanging="180"/>
      </w:pPr>
    </w:lvl>
    <w:lvl w:ilvl="3" w:tplc="0419000F">
      <w:start w:val="1"/>
      <w:numFmt w:val="decimal"/>
      <w:lvlText w:val="%4."/>
      <w:lvlJc w:val="left"/>
      <w:pPr>
        <w:ind w:left="7133" w:hanging="360"/>
      </w:pPr>
    </w:lvl>
    <w:lvl w:ilvl="4" w:tplc="04190019">
      <w:start w:val="1"/>
      <w:numFmt w:val="lowerLetter"/>
      <w:lvlText w:val="%5."/>
      <w:lvlJc w:val="left"/>
      <w:pPr>
        <w:ind w:left="7853" w:hanging="360"/>
      </w:pPr>
    </w:lvl>
    <w:lvl w:ilvl="5" w:tplc="0419001B">
      <w:start w:val="1"/>
      <w:numFmt w:val="lowerRoman"/>
      <w:lvlText w:val="%6."/>
      <w:lvlJc w:val="right"/>
      <w:pPr>
        <w:ind w:left="8573" w:hanging="180"/>
      </w:pPr>
    </w:lvl>
    <w:lvl w:ilvl="6" w:tplc="0419000F">
      <w:start w:val="1"/>
      <w:numFmt w:val="decimal"/>
      <w:lvlText w:val="%7."/>
      <w:lvlJc w:val="left"/>
      <w:pPr>
        <w:ind w:left="9293" w:hanging="360"/>
      </w:pPr>
    </w:lvl>
    <w:lvl w:ilvl="7" w:tplc="04190019">
      <w:start w:val="1"/>
      <w:numFmt w:val="lowerLetter"/>
      <w:lvlText w:val="%8."/>
      <w:lvlJc w:val="left"/>
      <w:pPr>
        <w:ind w:left="10013" w:hanging="360"/>
      </w:pPr>
    </w:lvl>
    <w:lvl w:ilvl="8" w:tplc="0419001B">
      <w:start w:val="1"/>
      <w:numFmt w:val="lowerRoman"/>
      <w:lvlText w:val="%9."/>
      <w:lvlJc w:val="right"/>
      <w:pPr>
        <w:ind w:left="107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1E"/>
    <w:rsid w:val="001F3B1E"/>
    <w:rsid w:val="0074431F"/>
    <w:rsid w:val="00A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1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31F"/>
  </w:style>
  <w:style w:type="character" w:customStyle="1" w:styleId="hl">
    <w:name w:val="hl"/>
    <w:rsid w:val="0074431F"/>
  </w:style>
  <w:style w:type="character" w:customStyle="1" w:styleId="blk">
    <w:name w:val="blk"/>
    <w:rsid w:val="0074431F"/>
  </w:style>
  <w:style w:type="paragraph" w:styleId="a4">
    <w:name w:val="No Spacing"/>
    <w:uiPriority w:val="1"/>
    <w:qFormat/>
    <w:rsid w:val="00744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1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31F"/>
  </w:style>
  <w:style w:type="character" w:customStyle="1" w:styleId="hl">
    <w:name w:val="hl"/>
    <w:rsid w:val="0074431F"/>
  </w:style>
  <w:style w:type="character" w:customStyle="1" w:styleId="blk">
    <w:name w:val="blk"/>
    <w:rsid w:val="0074431F"/>
  </w:style>
  <w:style w:type="paragraph" w:styleId="a4">
    <w:name w:val="No Spacing"/>
    <w:uiPriority w:val="1"/>
    <w:qFormat/>
    <w:rsid w:val="00744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2020-03-16T08:38:00Z</dcterms:created>
  <dcterms:modified xsi:type="dcterms:W3CDTF">2020-03-16T08:43:00Z</dcterms:modified>
</cp:coreProperties>
</file>